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8C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right="0"/>
        <w:textAlignment w:val="auto"/>
        <w:rPr>
          <w:rFonts w:hint="default" w:ascii="仿宋" w:hAnsi="仿宋" w:eastAsia="仿宋" w:cs="仿宋"/>
          <w:b/>
          <w:bCs/>
          <w:i w:val="0"/>
          <w:iCs w:val="0"/>
          <w:caps w:val="0"/>
          <w:color w:val="333333"/>
          <w:spacing w:val="0"/>
          <w:sz w:val="28"/>
          <w:szCs w:val="28"/>
          <w:shd w:val="clear" w:fill="FFFFFF"/>
          <w:lang w:val="en-US" w:eastAsia="zh-CN"/>
        </w:rPr>
      </w:pPr>
      <w:bookmarkStart w:id="0" w:name="_GoBack"/>
      <w:r>
        <w:rPr>
          <w:rFonts w:hint="eastAsia" w:ascii="仿宋" w:hAnsi="仿宋" w:eastAsia="仿宋" w:cs="仿宋"/>
          <w:b/>
          <w:bCs/>
          <w:i w:val="0"/>
          <w:iCs w:val="0"/>
          <w:caps w:val="0"/>
          <w:color w:val="333333"/>
          <w:spacing w:val="0"/>
          <w:sz w:val="28"/>
          <w:szCs w:val="28"/>
          <w:shd w:val="clear" w:fill="FFFFFF"/>
          <w:lang w:val="en-US" w:eastAsia="zh-CN"/>
        </w:rPr>
        <w:t>附件1</w:t>
      </w:r>
    </w:p>
    <w:p w14:paraId="3AE8DBC9">
      <w:pPr>
        <w:wordWrap w:val="0"/>
        <w:spacing w:after="0" w:line="360" w:lineRule="auto"/>
        <w:ind w:firstLine="562" w:firstLineChars="200"/>
        <w:jc w:val="center"/>
        <w:rPr>
          <w:rFonts w:hint="eastAsia" w:ascii="仿宋" w:hAnsi="仿宋" w:eastAsia="仿宋" w:cs="仿宋"/>
          <w:b/>
          <w:bCs/>
          <w:i w:val="0"/>
          <w:iCs w:val="0"/>
          <w:caps w:val="0"/>
          <w:color w:val="333333"/>
          <w:spacing w:val="0"/>
          <w:sz w:val="32"/>
          <w:szCs w:val="32"/>
          <w:highlight w:val="none"/>
          <w:shd w:val="clear" w:fill="FFFFFF"/>
          <w:lang w:val="en-US" w:eastAsia="zh-CN"/>
        </w:rPr>
      </w:pPr>
      <w:r>
        <w:rPr>
          <w:rFonts w:hint="eastAsia" w:ascii="仿宋" w:hAnsi="仿宋" w:eastAsia="仿宋" w:cs="仿宋"/>
          <w:b/>
          <w:bCs/>
          <w:i w:val="0"/>
          <w:iCs w:val="0"/>
          <w:caps w:val="0"/>
          <w:color w:val="333333"/>
          <w:spacing w:val="0"/>
          <w:sz w:val="28"/>
          <w:szCs w:val="28"/>
          <w:highlight w:val="none"/>
          <w:shd w:val="clear" w:fill="FFFFFF"/>
          <w:lang w:val="en-US" w:eastAsia="zh-CN"/>
        </w:rPr>
        <w:t>采购内容和要求</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779"/>
        <w:gridCol w:w="6233"/>
      </w:tblGrid>
      <w:tr w14:paraId="7557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0EDDF68A">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序号</w:t>
            </w:r>
          </w:p>
        </w:tc>
        <w:tc>
          <w:tcPr>
            <w:tcW w:w="1835" w:type="dxa"/>
          </w:tcPr>
          <w:p w14:paraId="212EF3C3">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类别</w:t>
            </w:r>
          </w:p>
        </w:tc>
        <w:tc>
          <w:tcPr>
            <w:tcW w:w="6464" w:type="dxa"/>
          </w:tcPr>
          <w:p w14:paraId="414B809F">
            <w:pPr>
              <w:wordWrap w:val="0"/>
              <w:spacing w:after="0" w:line="360" w:lineRule="auto"/>
              <w:jc w:val="center"/>
              <w:rPr>
                <w:rFonts w:hint="default" w:ascii="仿宋" w:hAnsi="仿宋" w:eastAsia="仿宋" w:cs="仿宋"/>
                <w:b/>
                <w:bCs/>
                <w:i w:val="0"/>
                <w:iCs w:val="0"/>
                <w:caps w:val="0"/>
                <w:color w:val="333333"/>
                <w:spacing w:val="0"/>
                <w:sz w:val="28"/>
                <w:szCs w:val="28"/>
                <w:shd w:val="clear" w:fill="FFFFFF"/>
                <w:vertAlign w:val="baseline"/>
                <w:lang w:val="en-US" w:eastAsia="zh-CN"/>
              </w:rPr>
            </w:pPr>
            <w:r>
              <w:rPr>
                <w:rFonts w:hint="eastAsia" w:ascii="仿宋" w:hAnsi="仿宋" w:eastAsia="仿宋" w:cs="仿宋"/>
                <w:b/>
                <w:bCs/>
                <w:i w:val="0"/>
                <w:iCs w:val="0"/>
                <w:caps w:val="0"/>
                <w:color w:val="333333"/>
                <w:spacing w:val="0"/>
                <w:sz w:val="28"/>
                <w:szCs w:val="28"/>
                <w:shd w:val="clear" w:fill="FFFFFF"/>
                <w:vertAlign w:val="baseline"/>
                <w:lang w:val="en-US" w:eastAsia="zh-CN"/>
              </w:rPr>
              <w:t>具体要求</w:t>
            </w:r>
          </w:p>
        </w:tc>
      </w:tr>
      <w:tr w14:paraId="16FA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072" w:type="dxa"/>
            <w:vAlign w:val="center"/>
          </w:tcPr>
          <w:p w14:paraId="5C8ECE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w:t>
            </w:r>
          </w:p>
        </w:tc>
        <w:tc>
          <w:tcPr>
            <w:tcW w:w="1835" w:type="dxa"/>
            <w:vAlign w:val="center"/>
          </w:tcPr>
          <w:p w14:paraId="744664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东门周边环境绿化</w:t>
            </w:r>
          </w:p>
        </w:tc>
        <w:tc>
          <w:tcPr>
            <w:tcW w:w="6464" w:type="dxa"/>
            <w:vAlign w:val="center"/>
          </w:tcPr>
          <w:p w14:paraId="1E20DF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在现状东门区域，破除部分沥青路面，改造为绿化带，绿化带内根据新增的景墙型标识牌配置植物，黄花风铃木作为背景点缀树，搭配灌木大叶棕竹、花叶鹅掌柴；标识牌前选择比利时杜鹃为前景花卉，周边种植马尼拉草。将现状绿化带内多头苏铁移植至改造后绿化带的现状景观灯柱前。在现状挡墙新增的景观围栏内种植三角梅。</w:t>
            </w:r>
          </w:p>
        </w:tc>
      </w:tr>
      <w:tr w14:paraId="665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072" w:type="dxa"/>
            <w:vAlign w:val="center"/>
          </w:tcPr>
          <w:p w14:paraId="7A14D5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w:t>
            </w:r>
          </w:p>
        </w:tc>
        <w:tc>
          <w:tcPr>
            <w:tcW w:w="1835" w:type="dxa"/>
            <w:vAlign w:val="center"/>
          </w:tcPr>
          <w:p w14:paraId="7E20CF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东门周边环境园建</w:t>
            </w:r>
          </w:p>
        </w:tc>
        <w:tc>
          <w:tcPr>
            <w:tcW w:w="6464" w:type="dxa"/>
            <w:vAlign w:val="center"/>
          </w:tcPr>
          <w:p w14:paraId="13E85D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在现状东门南侧区域，破除部分现状绿化带，改造为转弯半径 4 米的绿化带，绿化带内新建一座景墙型标识牌。在该区域现状挡墙位置，对挡墙进行贴面美化处理。在现状东门北侧区域，新增一座精神堡垒型标识牌。</w:t>
            </w:r>
          </w:p>
        </w:tc>
      </w:tr>
      <w:tr w14:paraId="59E8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072" w:type="dxa"/>
            <w:vAlign w:val="center"/>
          </w:tcPr>
          <w:p w14:paraId="1AD717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p>
        </w:tc>
        <w:tc>
          <w:tcPr>
            <w:tcW w:w="1835" w:type="dxa"/>
            <w:vAlign w:val="center"/>
          </w:tcPr>
          <w:p w14:paraId="2E6D19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交通改造</w:t>
            </w:r>
          </w:p>
        </w:tc>
        <w:tc>
          <w:tcPr>
            <w:tcW w:w="6464" w:type="dxa"/>
            <w:vAlign w:val="center"/>
          </w:tcPr>
          <w:p w14:paraId="3FC986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在距现状集团北楼大门约20米处，打通原有南北楼间绿化带及围墙，铺设一条5.4米宽的内部道路，打通集团南北楼之间内部交通。</w:t>
            </w:r>
          </w:p>
        </w:tc>
      </w:tr>
      <w:tr w14:paraId="0A14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72" w:type="dxa"/>
            <w:vAlign w:val="center"/>
          </w:tcPr>
          <w:p w14:paraId="0DEE84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4</w:t>
            </w:r>
          </w:p>
        </w:tc>
        <w:tc>
          <w:tcPr>
            <w:tcW w:w="1835" w:type="dxa"/>
            <w:vAlign w:val="center"/>
          </w:tcPr>
          <w:p w14:paraId="10B797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施工范围及详细内容</w:t>
            </w:r>
          </w:p>
        </w:tc>
        <w:tc>
          <w:tcPr>
            <w:tcW w:w="6464" w:type="dxa"/>
            <w:vAlign w:val="center"/>
          </w:tcPr>
          <w:p w14:paraId="296A2D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详《南宁市建筑规划设计集团有限公司东门改造工程施工图》、《南宁市建筑规划设计集团有限公司东门改造工程工程量清单》。</w:t>
            </w:r>
          </w:p>
        </w:tc>
      </w:tr>
      <w:tr w14:paraId="5A9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72" w:type="dxa"/>
            <w:vAlign w:val="center"/>
          </w:tcPr>
          <w:p w14:paraId="7743F0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5</w:t>
            </w:r>
          </w:p>
        </w:tc>
        <w:tc>
          <w:tcPr>
            <w:tcW w:w="1835" w:type="dxa"/>
            <w:vAlign w:val="center"/>
          </w:tcPr>
          <w:p w14:paraId="58413E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物料要求</w:t>
            </w:r>
          </w:p>
        </w:tc>
        <w:tc>
          <w:tcPr>
            <w:tcW w:w="6464" w:type="dxa"/>
            <w:vAlign w:val="center"/>
          </w:tcPr>
          <w:p w14:paraId="3E3847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详《南宁市建筑规划设计集团有限公司东门改造工程施工图》、《南宁市建筑规划设计集团有限公司东门改造工程工程量清单》。</w:t>
            </w:r>
          </w:p>
        </w:tc>
      </w:tr>
      <w:tr w14:paraId="334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072" w:type="dxa"/>
            <w:vAlign w:val="center"/>
          </w:tcPr>
          <w:p w14:paraId="24A37A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6</w:t>
            </w:r>
          </w:p>
        </w:tc>
        <w:tc>
          <w:tcPr>
            <w:tcW w:w="1835" w:type="dxa"/>
            <w:vAlign w:val="center"/>
          </w:tcPr>
          <w:p w14:paraId="41B4B4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施工要求</w:t>
            </w:r>
          </w:p>
        </w:tc>
        <w:tc>
          <w:tcPr>
            <w:tcW w:w="6464" w:type="dxa"/>
            <w:vAlign w:val="center"/>
          </w:tcPr>
          <w:p w14:paraId="6A758D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heme="minorEastAsia" w:hAnsiTheme="minorEastAsia" w:cstheme="minorEastAsia"/>
                <w:i w:val="0"/>
                <w:iCs w:val="0"/>
                <w:caps w:val="0"/>
                <w:color w:val="auto"/>
                <w:spacing w:val="0"/>
                <w:sz w:val="24"/>
                <w:szCs w:val="24"/>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shd w:val="clear" w:fill="FFFFFF"/>
                <w:vertAlign w:val="baseline"/>
                <w:lang w:val="en-US" w:eastAsia="zh-CN"/>
              </w:rPr>
              <w:t>结构安全稳固，符合消防及安全规范，施工过程需文明、高效，对原有绿化园林环境做好保护，尽量减少对办公环境的影响。</w:t>
            </w:r>
          </w:p>
        </w:tc>
      </w:tr>
      <w:tr w14:paraId="34FF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72" w:type="dxa"/>
            <w:vAlign w:val="center"/>
          </w:tcPr>
          <w:p w14:paraId="19783B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7</w:t>
            </w:r>
          </w:p>
        </w:tc>
        <w:tc>
          <w:tcPr>
            <w:tcW w:w="1835" w:type="dxa"/>
            <w:vAlign w:val="center"/>
          </w:tcPr>
          <w:p w14:paraId="6C73E6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交付时间</w:t>
            </w:r>
          </w:p>
        </w:tc>
        <w:tc>
          <w:tcPr>
            <w:tcW w:w="6464" w:type="dxa"/>
            <w:vAlign w:val="center"/>
          </w:tcPr>
          <w:p w14:paraId="39D0D3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宋体" w:hAnsi="宋体" w:eastAsia="宋体"/>
                <w:sz w:val="24"/>
                <w:szCs w:val="24"/>
              </w:rPr>
              <w:t>自合同签订之日起</w:t>
            </w:r>
            <w:r>
              <w:rPr>
                <w:rFonts w:hint="eastAsia" w:ascii="宋体" w:hAnsi="宋体" w:eastAsia="宋体"/>
                <w:color w:val="auto"/>
                <w:sz w:val="24"/>
                <w:szCs w:val="24"/>
              </w:rPr>
              <w:t>至202</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9</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30</w:t>
            </w:r>
            <w:r>
              <w:rPr>
                <w:rFonts w:hint="eastAsia" w:ascii="宋体" w:hAnsi="宋体" w:eastAsia="宋体"/>
                <w:color w:val="auto"/>
                <w:sz w:val="24"/>
                <w:szCs w:val="24"/>
              </w:rPr>
              <w:t>日</w:t>
            </w:r>
            <w:r>
              <w:rPr>
                <w:rFonts w:hint="eastAsia" w:ascii="宋体" w:hAnsi="宋体" w:eastAsia="宋体"/>
                <w:sz w:val="24"/>
                <w:szCs w:val="24"/>
              </w:rPr>
              <w:t>前完成全部</w:t>
            </w:r>
            <w:r>
              <w:rPr>
                <w:rFonts w:hint="eastAsia" w:ascii="宋体" w:hAnsi="宋体" w:eastAsia="宋体"/>
                <w:sz w:val="24"/>
                <w:szCs w:val="24"/>
                <w:lang w:val="en-US" w:eastAsia="zh-CN"/>
              </w:rPr>
              <w:t>工程施工</w:t>
            </w:r>
            <w:r>
              <w:rPr>
                <w:rFonts w:hint="eastAsia" w:ascii="宋体" w:hAnsi="宋体" w:eastAsia="宋体"/>
                <w:sz w:val="24"/>
                <w:szCs w:val="24"/>
              </w:rPr>
              <w:t>工作并经采购人验收合格交付使用。</w:t>
            </w:r>
          </w:p>
        </w:tc>
      </w:tr>
      <w:tr w14:paraId="7715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jc w:val="center"/>
        </w:trPr>
        <w:tc>
          <w:tcPr>
            <w:tcW w:w="1072" w:type="dxa"/>
            <w:vAlign w:val="center"/>
          </w:tcPr>
          <w:p w14:paraId="0161C6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8</w:t>
            </w:r>
          </w:p>
        </w:tc>
        <w:tc>
          <w:tcPr>
            <w:tcW w:w="1835" w:type="dxa"/>
            <w:vAlign w:val="center"/>
          </w:tcPr>
          <w:p w14:paraId="4AC785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交付成果要求</w:t>
            </w:r>
          </w:p>
        </w:tc>
        <w:tc>
          <w:tcPr>
            <w:tcW w:w="6464" w:type="dxa"/>
            <w:vAlign w:val="center"/>
          </w:tcPr>
          <w:p w14:paraId="1FE7417E">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交付成果质量标准及内容项须满足</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《南宁市建筑规划设计集团有限公司东门改造工程施工图》及《南宁市建筑规划设计集团有限公司东门改造工程工程量清单》要求。</w:t>
            </w:r>
          </w:p>
          <w:p w14:paraId="7330442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中标</w:t>
            </w:r>
            <w:r>
              <w:rPr>
                <w:rFonts w:hint="eastAsia" w:ascii="宋体" w:hAnsi="宋体" w:eastAsia="宋体"/>
                <w:sz w:val="24"/>
                <w:szCs w:val="24"/>
              </w:rPr>
              <w:t>供应商应保证所提供的成果或其任何一部分均不会侵犯任何第三方的专利权、商标权或著作权</w:t>
            </w:r>
            <w:r>
              <w:rPr>
                <w:rFonts w:hint="eastAsia" w:ascii="宋体" w:hAnsi="宋体" w:eastAsia="宋体"/>
                <w:sz w:val="24"/>
                <w:szCs w:val="24"/>
                <w:lang w:eastAsia="zh-CN"/>
              </w:rPr>
              <w:t>。</w:t>
            </w:r>
          </w:p>
          <w:p w14:paraId="2C174518">
            <w:pPr>
              <w:spacing w:after="0"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2.中标</w:t>
            </w:r>
            <w:r>
              <w:rPr>
                <w:rFonts w:hint="eastAsia" w:ascii="宋体" w:hAnsi="宋体" w:eastAsia="宋体"/>
                <w:sz w:val="24"/>
                <w:szCs w:val="24"/>
              </w:rPr>
              <w:t>供应商保证所交付成果的所有权完全属于采购人且无任何纠纷、抵押、查封等产权瑕疵。如中标供应商所交付成果有产权瑕疵的，视为中标供应商违约，按照合同有关违约约定处理；在已经全部支付完合同款后才发现有产权瑕疵的，中标供应商除了支付违约金外，由此造成的一切责任及损失均由中标供应商承担。</w:t>
            </w:r>
          </w:p>
        </w:tc>
      </w:tr>
      <w:tr w14:paraId="194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72" w:type="dxa"/>
            <w:vAlign w:val="center"/>
          </w:tcPr>
          <w:p w14:paraId="1549BF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9</w:t>
            </w:r>
          </w:p>
        </w:tc>
        <w:tc>
          <w:tcPr>
            <w:tcW w:w="1835" w:type="dxa"/>
            <w:vAlign w:val="center"/>
          </w:tcPr>
          <w:p w14:paraId="52275F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竣工退场</w:t>
            </w:r>
          </w:p>
        </w:tc>
        <w:tc>
          <w:tcPr>
            <w:tcW w:w="6464" w:type="dxa"/>
            <w:vAlign w:val="center"/>
          </w:tcPr>
          <w:p w14:paraId="0F64AE42">
            <w:pPr>
              <w:spacing w:after="0" w:line="360" w:lineRule="auto"/>
              <w:rPr>
                <w:rFonts w:hint="eastAsia" w:ascii="宋体" w:hAnsi="宋体" w:eastAsia="宋体"/>
                <w:color w:val="auto"/>
                <w:sz w:val="24"/>
                <w:szCs w:val="24"/>
                <w:lang w:val="en-US" w:eastAsia="zh-CN"/>
              </w:rPr>
            </w:pPr>
            <w:r>
              <w:rPr>
                <w:rFonts w:hint="default" w:ascii="宋体" w:hAnsi="宋体" w:eastAsia="宋体"/>
                <w:color w:val="auto"/>
                <w:sz w:val="24"/>
                <w:szCs w:val="24"/>
                <w:lang w:val="en-US" w:eastAsia="zh-CN"/>
              </w:rPr>
              <w:t>竣工验收合格并完成现场清理工作</w:t>
            </w:r>
            <w:r>
              <w:rPr>
                <w:rFonts w:hint="eastAsia" w:ascii="宋体" w:hAnsi="宋体" w:eastAsia="宋体"/>
                <w:color w:val="auto"/>
                <w:sz w:val="24"/>
                <w:szCs w:val="24"/>
                <w:lang w:val="en-US" w:eastAsia="zh-CN"/>
              </w:rPr>
              <w:t>3</w:t>
            </w:r>
            <w:r>
              <w:rPr>
                <w:rFonts w:hint="default" w:ascii="宋体" w:hAnsi="宋体" w:eastAsia="宋体"/>
                <w:color w:val="auto"/>
                <w:sz w:val="24"/>
                <w:szCs w:val="24"/>
                <w:lang w:val="en-US" w:eastAsia="zh-CN"/>
              </w:rPr>
              <w:t>天内退场</w:t>
            </w:r>
            <w:r>
              <w:rPr>
                <w:rFonts w:hint="eastAsia" w:ascii="宋体" w:hAnsi="宋体" w:eastAsia="宋体"/>
                <w:color w:val="auto"/>
                <w:sz w:val="24"/>
                <w:szCs w:val="24"/>
                <w:lang w:val="en-US" w:eastAsia="zh-CN"/>
              </w:rPr>
              <w:t>。</w:t>
            </w:r>
          </w:p>
        </w:tc>
      </w:tr>
      <w:tr w14:paraId="3EE8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72" w:type="dxa"/>
            <w:vAlign w:val="center"/>
          </w:tcPr>
          <w:p w14:paraId="2F225D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10</w:t>
            </w:r>
          </w:p>
        </w:tc>
        <w:tc>
          <w:tcPr>
            <w:tcW w:w="1835" w:type="dxa"/>
            <w:vAlign w:val="center"/>
          </w:tcPr>
          <w:p w14:paraId="5D2D36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缺陷责任与保修</w:t>
            </w:r>
          </w:p>
        </w:tc>
        <w:tc>
          <w:tcPr>
            <w:tcW w:w="6464" w:type="dxa"/>
            <w:vAlign w:val="center"/>
          </w:tcPr>
          <w:p w14:paraId="2B372FB6">
            <w:pPr>
              <w:numPr>
                <w:ilvl w:val="0"/>
                <w:numId w:val="2"/>
              </w:numPr>
              <w:spacing w:after="0" w:line="36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缺陷责任期的期限：12个月。</w:t>
            </w:r>
          </w:p>
          <w:p w14:paraId="3DFFF353">
            <w:pPr>
              <w:numPr>
                <w:ilvl w:val="0"/>
                <w:numId w:val="2"/>
              </w:numPr>
              <w:spacing w:after="0" w:line="360"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承包人收到保修通知后48小时应到达现场。</w:t>
            </w:r>
          </w:p>
        </w:tc>
      </w:tr>
      <w:tr w14:paraId="248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72" w:type="dxa"/>
            <w:vAlign w:val="center"/>
          </w:tcPr>
          <w:p w14:paraId="399865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11</w:t>
            </w:r>
          </w:p>
        </w:tc>
        <w:tc>
          <w:tcPr>
            <w:tcW w:w="1835" w:type="dxa"/>
            <w:vAlign w:val="center"/>
          </w:tcPr>
          <w:p w14:paraId="58CCDE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cstheme="minorEastAsia"/>
                <w:i w:val="0"/>
                <w:iCs w:val="0"/>
                <w:caps w:val="0"/>
                <w:color w:val="auto"/>
                <w:spacing w:val="0"/>
                <w:sz w:val="24"/>
                <w:szCs w:val="24"/>
                <w:highlight w:val="none"/>
                <w:shd w:val="clear" w:fill="FFFFFF"/>
                <w:vertAlign w:val="baseline"/>
                <w:lang w:val="en-US" w:eastAsia="zh-CN"/>
              </w:rPr>
            </w:pPr>
            <w:r>
              <w:rPr>
                <w:rFonts w:hint="eastAsia" w:asciiTheme="minorEastAsia" w:hAnsiTheme="minorEastAsia" w:cstheme="minorEastAsia"/>
                <w:i w:val="0"/>
                <w:iCs w:val="0"/>
                <w:caps w:val="0"/>
                <w:color w:val="auto"/>
                <w:spacing w:val="0"/>
                <w:sz w:val="24"/>
                <w:szCs w:val="24"/>
                <w:highlight w:val="none"/>
                <w:shd w:val="clear" w:fill="FFFFFF"/>
                <w:vertAlign w:val="baseline"/>
                <w:lang w:val="en-US" w:eastAsia="zh-CN"/>
              </w:rPr>
              <w:t>合同价格</w:t>
            </w:r>
          </w:p>
        </w:tc>
        <w:tc>
          <w:tcPr>
            <w:tcW w:w="6464" w:type="dxa"/>
            <w:vAlign w:val="center"/>
          </w:tcPr>
          <w:p w14:paraId="7CEF5040">
            <w:pPr>
              <w:numPr>
                <w:ilvl w:val="0"/>
                <w:numId w:val="0"/>
              </w:numPr>
              <w:spacing w:after="0" w:line="360"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总价合同</w:t>
            </w:r>
          </w:p>
        </w:tc>
      </w:tr>
    </w:tbl>
    <w:p w14:paraId="6E0145F5"/>
    <w:sectPr>
      <w:pgSz w:w="11906" w:h="16838"/>
      <w:pgMar w:top="2098" w:right="1474" w:bottom="1984" w:left="1588"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2EFE1"/>
    <w:multiLevelType w:val="singleLevel"/>
    <w:tmpl w:val="2732EFE1"/>
    <w:lvl w:ilvl="0" w:tentative="0">
      <w:start w:val="1"/>
      <w:numFmt w:val="decimal"/>
      <w:suff w:val="nothing"/>
      <w:lvlText w:val="%1、"/>
      <w:lvlJc w:val="left"/>
    </w:lvl>
  </w:abstractNum>
  <w:abstractNum w:abstractNumId="1">
    <w:nsid w:val="3F5D931C"/>
    <w:multiLevelType w:val="singleLevel"/>
    <w:tmpl w:val="3F5D931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04954"/>
    <w:rsid w:val="1D530AFE"/>
    <w:rsid w:val="35A322C2"/>
    <w:rsid w:val="37D1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rPr>
      <w:rFonts w:eastAsia="仿宋_GB2312" w:asciiTheme="minorAscii" w:hAnsiTheme="minorAscii" w:cstheme="minorBidi"/>
      <w:kern w:val="2"/>
      <w:sz w:val="32"/>
      <w:szCs w:val="24"/>
      <w:lang w:val="en-US" w:eastAsia="zh-CN" w:bidi="ar-SA"/>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2022-12-09T00:48:00Z</dcterms:created>
  <dc:creator>Administrator</dc:creator>
  <cp:lastModifiedBy>吴洁辉</cp:lastModifiedBy>
  <dcterms:modified xsi:type="dcterms:W3CDTF">2025-07-12T08:05:53Z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3D949F7159FB4360BAEA4B1A8BBABAC1</vt:lpwstr>
  </property>
  <property fmtid="{D5CDD505-2E9C-101B-9397-08002B2CF9AE}" pid="4" name="KSOTemplateDocerSaveRecord">
    <vt:lpwstr>eyJoZGlkIjoiNjlmYjFkMjY3ZGVmMmJlOGY0NmNmNTgwYjVjZTRiNGUiLCJ1c2VySWQiOiIyODUxNjY4OTYifQ==</vt:lpwstr>
  </property>
</Properties>
</file>